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tabs>
          <w:tab w:val="center" w:pos="4883"/>
        </w:tabs>
        <w:ind w:right="-300" w:firstLine="1325" w:firstLineChars="300"/>
        <w:jc w:val="left"/>
        <w:rPr>
          <w:rFonts w:ascii="宋体" w:hAnsi="宋体"/>
          <w:b/>
          <w:bCs/>
          <w:sz w:val="44"/>
          <w:szCs w:val="44"/>
        </w:rPr>
      </w:pPr>
    </w:p>
    <w:p>
      <w:pPr>
        <w:widowControl/>
        <w:tabs>
          <w:tab w:val="center" w:pos="4883"/>
        </w:tabs>
        <w:ind w:right="-300"/>
        <w:jc w:val="center"/>
        <w:rPr>
          <w:rFonts w:ascii="华文细黑" w:hAnsi="华文细黑" w:eastAsia="华文细黑"/>
          <w:b/>
          <w:bCs/>
          <w:sz w:val="48"/>
          <w:szCs w:val="48"/>
        </w:rPr>
      </w:pPr>
    </w:p>
    <w:p>
      <w:pPr>
        <w:widowControl/>
        <w:tabs>
          <w:tab w:val="center" w:pos="4883"/>
        </w:tabs>
        <w:ind w:right="-300"/>
        <w:jc w:val="center"/>
        <w:rPr>
          <w:rFonts w:ascii="华文细黑" w:hAnsi="华文细黑" w:eastAsia="华文细黑"/>
          <w:b/>
          <w:bCs/>
          <w:sz w:val="48"/>
          <w:szCs w:val="48"/>
        </w:rPr>
      </w:pPr>
      <w:r>
        <w:rPr>
          <w:rFonts w:hint="eastAsia" w:ascii="宋体" w:hAnsi="宋体" w:eastAsia="宋体"/>
          <w:b/>
          <w:bCs/>
          <w:sz w:val="48"/>
          <w:szCs w:val="48"/>
          <w:lang w:val="en-US" w:eastAsia="zh-CN"/>
        </w:rPr>
        <w:t>技术、</w:t>
      </w:r>
      <w:r>
        <w:rPr>
          <w:rFonts w:hint="eastAsia" w:ascii="宋体" w:hAnsi="宋体" w:eastAsia="宋体"/>
          <w:b/>
          <w:bCs/>
          <w:sz w:val="48"/>
          <w:szCs w:val="48"/>
        </w:rPr>
        <w:t>质量及服务要求</w:t>
      </w: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>
      <w:pPr>
        <w:ind w:firstLine="3253" w:firstLineChars="900"/>
        <w:rPr>
          <w:rFonts w:ascii="宋体" w:hAnsi="宋体"/>
          <w:b/>
          <w:bCs/>
          <w:sz w:val="36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>
      <w:pPr>
        <w:spacing w:beforeLines="0" w:afterLines="0" w:line="360" w:lineRule="auto"/>
        <w:rPr>
          <w:rFonts w:hint="default"/>
          <w:b/>
          <w:color w:val="000000"/>
          <w:sz w:val="28"/>
          <w:szCs w:val="24"/>
        </w:rPr>
      </w:pPr>
      <w:r>
        <w:rPr>
          <w:rFonts w:hint="eastAsia" w:eastAsia="宋体"/>
          <w:b/>
          <w:color w:val="000000"/>
          <w:sz w:val="28"/>
          <w:szCs w:val="24"/>
          <w:lang w:val="en-US" w:eastAsia="zh-CN"/>
        </w:rPr>
        <w:t>一</w:t>
      </w:r>
      <w:r>
        <w:rPr>
          <w:rFonts w:hint="eastAsia" w:eastAsia="宋体"/>
          <w:b/>
          <w:color w:val="000000"/>
          <w:sz w:val="28"/>
          <w:szCs w:val="24"/>
        </w:rPr>
        <w:t>、总则</w:t>
      </w:r>
    </w:p>
    <w:p>
      <w:pPr>
        <w:spacing w:beforeLines="0" w:afterLines="0" w:line="360" w:lineRule="auto"/>
        <w:ind w:firstLine="480" w:firstLineChars="200"/>
        <w:rPr>
          <w:rFonts w:hint="default"/>
          <w:color w:val="000000"/>
          <w:sz w:val="24"/>
          <w:szCs w:val="24"/>
        </w:rPr>
      </w:pPr>
      <w:r>
        <w:rPr>
          <w:rFonts w:hint="eastAsia" w:eastAsia="宋体"/>
          <w:color w:val="000000"/>
          <w:sz w:val="24"/>
          <w:szCs w:val="24"/>
        </w:rPr>
        <w:t>合同ICT夹具必须是全新的、可靠性良好的合格产品，完全符合</w:t>
      </w:r>
      <w:r>
        <w:rPr>
          <w:rFonts w:hint="eastAsia" w:eastAsia="宋体"/>
          <w:color w:val="000000"/>
          <w:sz w:val="24"/>
          <w:szCs w:val="24"/>
          <w:lang w:val="en-US" w:eastAsia="zh-CN"/>
        </w:rPr>
        <w:t>采购人</w:t>
      </w:r>
      <w:r>
        <w:rPr>
          <w:rFonts w:hint="eastAsia" w:eastAsia="宋体"/>
          <w:color w:val="000000"/>
          <w:sz w:val="24"/>
          <w:szCs w:val="24"/>
        </w:rPr>
        <w:t>的定制要求。</w:t>
      </w:r>
    </w:p>
    <w:p>
      <w:pPr>
        <w:spacing w:before="120" w:beforeLines="50" w:afterLines="0" w:line="360" w:lineRule="auto"/>
        <w:rPr>
          <w:rFonts w:hint="default"/>
          <w:b/>
          <w:color w:val="000000"/>
          <w:sz w:val="28"/>
          <w:szCs w:val="24"/>
        </w:rPr>
      </w:pPr>
      <w:r>
        <w:rPr>
          <w:rFonts w:hint="eastAsia" w:eastAsia="宋体"/>
          <w:b/>
          <w:color w:val="000000"/>
          <w:sz w:val="28"/>
          <w:szCs w:val="24"/>
        </w:rPr>
        <w:t>二、技术要求</w:t>
      </w:r>
    </w:p>
    <w:p>
      <w:pPr>
        <w:spacing w:beforeLines="0" w:afterLines="0" w:line="360" w:lineRule="auto"/>
        <w:rPr>
          <w:rFonts w:hint="default"/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</w:rPr>
        <w:t>Ⅰ</w:t>
      </w:r>
      <w:r>
        <w:rPr>
          <w:rFonts w:hint="eastAsia" w:eastAsia="宋体"/>
          <w:b/>
          <w:color w:val="000000"/>
          <w:sz w:val="24"/>
          <w:szCs w:val="24"/>
        </w:rPr>
        <w:t>、ICT测试夹具型号及夹具附件清单如下：</w:t>
      </w:r>
    </w:p>
    <w:p>
      <w:pPr>
        <w:pStyle w:val="18"/>
        <w:numPr>
          <w:ilvl w:val="0"/>
          <w:numId w:val="2"/>
        </w:numPr>
        <w:spacing w:beforeLines="0" w:afterLines="0" w:line="360" w:lineRule="auto"/>
        <w:ind w:firstLineChars="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ICT</w:t>
      </w:r>
      <w:r>
        <w:rPr>
          <w:rFonts w:hint="eastAsia" w:eastAsia="宋体"/>
          <w:sz w:val="24"/>
          <w:szCs w:val="24"/>
        </w:rPr>
        <w:t>夹具：</w:t>
      </w:r>
    </w:p>
    <w:p>
      <w:pPr>
        <w:spacing w:beforeLines="0" w:afterLines="0" w:line="360" w:lineRule="auto"/>
        <w:ind w:firstLine="480" w:firstLineChars="200"/>
        <w:jc w:val="left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夹具共涉及4种车载产品（</w:t>
      </w:r>
      <w:r>
        <w:rPr>
          <w:rFonts w:hint="default"/>
          <w:sz w:val="24"/>
          <w:szCs w:val="24"/>
          <w:lang w:val="en-GB"/>
        </w:rPr>
        <w:t>VCU</w:t>
      </w:r>
      <w:r>
        <w:rPr>
          <w:rFonts w:hint="eastAsia" w:eastAsia="宋体"/>
          <w:sz w:val="24"/>
          <w:szCs w:val="24"/>
          <w:lang w:val="en-GB"/>
        </w:rPr>
        <w:t>、DI、DX、SDU-C1</w:t>
      </w:r>
      <w:r>
        <w:rPr>
          <w:rFonts w:hint="eastAsia" w:eastAsia="宋体"/>
          <w:sz w:val="24"/>
          <w:szCs w:val="24"/>
        </w:rPr>
        <w:t>），共计6块PCBA板卡，产品及PCBA板卡信息汇总如下：</w:t>
      </w:r>
    </w:p>
    <w:tbl>
      <w:tblPr>
        <w:tblStyle w:val="6"/>
        <w:tblW w:w="91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3"/>
        <w:gridCol w:w="1266"/>
        <w:gridCol w:w="2632"/>
        <w:gridCol w:w="1266"/>
        <w:gridCol w:w="323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  <w:jc w:val="center"/>
        </w:trPr>
        <w:tc>
          <w:tcPr>
            <w:tcW w:w="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序号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产品品号</w:t>
            </w:r>
          </w:p>
        </w:tc>
        <w:tc>
          <w:tcPr>
            <w:tcW w:w="26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产品型号</w:t>
            </w:r>
          </w:p>
        </w:tc>
        <w:tc>
          <w:tcPr>
            <w:tcW w:w="12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涉及单板</w:t>
            </w:r>
          </w:p>
        </w:tc>
        <w:tc>
          <w:tcPr>
            <w:tcW w:w="32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型号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8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1</w:t>
            </w:r>
          </w:p>
        </w:tc>
        <w:tc>
          <w:tcPr>
            <w:tcW w:w="12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3000000010</w:t>
            </w:r>
          </w:p>
        </w:tc>
        <w:tc>
          <w:tcPr>
            <w:tcW w:w="26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车载VCU(国产化)\300T·DKC型\WGTS06136.00.00\北信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2000003758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车载VCU(国产化)-计算机板组装\WGTS06136.02.00\北信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2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2000003754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车载VCU(国产化)-通信接口板组装\WGTS06136.01.00\北信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8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</w:t>
            </w:r>
          </w:p>
        </w:tc>
        <w:tc>
          <w:tcPr>
            <w:tcW w:w="12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3000000011</w:t>
            </w:r>
          </w:p>
        </w:tc>
        <w:tc>
          <w:tcPr>
            <w:tcW w:w="26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车载DI(国产化)\300T·DRS型\WGTS06139.00.00\北信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2000003766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车载DI(国产化)-输入板组装\WGTS06139.01.00\北信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2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2000003769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车载DI(国产化)-逻辑板组装\WGTS06139.02.00\北信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8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</w:t>
            </w:r>
          </w:p>
        </w:tc>
        <w:tc>
          <w:tcPr>
            <w:tcW w:w="126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3000000012</w:t>
            </w:r>
          </w:p>
        </w:tc>
        <w:tc>
          <w:tcPr>
            <w:tcW w:w="263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车载DX(国产化)\300T·DCS型\WGTS06140.00.00\北信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2000003774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车载DX(国产化)－输入输出板组装\WGTS06140.01.00\北信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8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26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263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2000003769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bottom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车载DI(国产化)-逻辑板组装\WGTS06139.02.00\北信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7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4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3000048823</w:t>
            </w:r>
          </w:p>
        </w:tc>
        <w:tc>
          <w:tcPr>
            <w:tcW w:w="26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车载SDU-C1(国产化)\300T·DJS-C1型\WGTS06146.00.00-2\北信</w:t>
            </w: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2000272653</w:t>
            </w:r>
          </w:p>
        </w:tc>
        <w:tc>
          <w:tcPr>
            <w:tcW w:w="32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widowControl/>
              <w:spacing w:beforeLines="0" w:afterLine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4"/>
              </w:rPr>
              <w:t>扩展板组装\WGTS06146.02.00-2\北信</w:t>
            </w:r>
          </w:p>
        </w:tc>
      </w:tr>
    </w:tbl>
    <w:p>
      <w:pPr>
        <w:spacing w:beforeLines="0" w:afterLines="0" w:line="360" w:lineRule="auto"/>
        <w:ind w:firstLine="480" w:firstLineChars="200"/>
        <w:jc w:val="left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将6种PCBA板卡中各2种板卡制作在同一套夹具内，组合形式为：</w:t>
      </w:r>
    </w:p>
    <w:p>
      <w:pPr>
        <w:spacing w:beforeLines="0" w:afterLines="0" w:line="360" w:lineRule="auto"/>
        <w:ind w:firstLine="480" w:firstLineChars="200"/>
        <w:jc w:val="left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夹具1：车载VCU(国产化)-计算机板组装\WGTS06136.02.00\北信+车载VCU(国产化)-通信接口板组装\WGTS06136.01.00\北信</w:t>
      </w:r>
    </w:p>
    <w:p>
      <w:pPr>
        <w:spacing w:beforeLines="0" w:afterLines="0" w:line="360" w:lineRule="auto"/>
        <w:ind w:firstLine="480" w:firstLineChars="200"/>
        <w:jc w:val="left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夹具2：车载DI(国产化)-输入板组装\WGTS06139.01.00\北信+车载DI(国产化)-逻辑板组装\WGTS06139.02.00\北信</w:t>
      </w:r>
    </w:p>
    <w:p>
      <w:pPr>
        <w:spacing w:beforeLines="0" w:afterLines="0" w:line="360" w:lineRule="auto"/>
        <w:ind w:firstLine="480" w:firstLineChars="200"/>
        <w:jc w:val="left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夹具3：车载DX(国产化)－输入输出板组装\WGTS06140.01.00\北信+车载SDU-C1扩展板组装\WGTS06146.02.00-2\北信</w:t>
      </w:r>
    </w:p>
    <w:p>
      <w:pPr>
        <w:pStyle w:val="18"/>
        <w:widowControl/>
        <w:spacing w:beforeLines="0" w:afterLines="0" w:line="360" w:lineRule="auto"/>
        <w:ind w:firstLine="48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2</w:t>
      </w:r>
      <w:r>
        <w:rPr>
          <w:rFonts w:hint="eastAsia" w:eastAsia="宋体"/>
          <w:sz w:val="24"/>
          <w:szCs w:val="24"/>
        </w:rPr>
        <w:t>、相关配套线缆及附件；</w:t>
      </w:r>
    </w:p>
    <w:p>
      <w:pPr>
        <w:spacing w:beforeLines="0" w:afterLines="0" w:line="360" w:lineRule="auto"/>
        <w:rPr>
          <w:rFonts w:hint="default"/>
          <w:b/>
          <w:color w:val="000000"/>
          <w:sz w:val="24"/>
          <w:szCs w:val="24"/>
        </w:rPr>
      </w:pPr>
      <w:r>
        <w:rPr>
          <w:rFonts w:hint="default"/>
          <w:b/>
          <w:color w:val="000000"/>
          <w:sz w:val="24"/>
          <w:szCs w:val="24"/>
        </w:rPr>
        <w:t>Ⅱ</w:t>
      </w:r>
      <w:r>
        <w:rPr>
          <w:rFonts w:hint="eastAsia" w:eastAsia="宋体"/>
          <w:b/>
          <w:color w:val="000000"/>
          <w:sz w:val="24"/>
          <w:szCs w:val="24"/>
        </w:rPr>
        <w:t>、技术要求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1</w:t>
      </w:r>
      <w:r>
        <w:rPr>
          <w:rFonts w:hint="eastAsia" w:eastAsia="宋体"/>
          <w:sz w:val="24"/>
          <w:szCs w:val="24"/>
        </w:rPr>
        <w:t>、软件要求：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测试软件开发平台为</w:t>
      </w:r>
      <w:r>
        <w:rPr>
          <w:rFonts w:hint="default"/>
          <w:color w:val="000000"/>
          <w:sz w:val="24"/>
          <w:szCs w:val="24"/>
        </w:rPr>
        <w:t>KEYSIGHT i3070</w:t>
      </w:r>
      <w:r>
        <w:rPr>
          <w:rFonts w:hint="eastAsia" w:eastAsia="宋体"/>
          <w:color w:val="000000"/>
          <w:sz w:val="24"/>
          <w:szCs w:val="24"/>
        </w:rPr>
        <w:t>系列6在线针床测试机软件平台</w:t>
      </w:r>
      <w:r>
        <w:rPr>
          <w:rFonts w:hint="eastAsia" w:eastAsia="宋体"/>
          <w:sz w:val="24"/>
          <w:szCs w:val="24"/>
        </w:rPr>
        <w:t>，测试根据各产品相应PCB的GERBER文件中所布的测试点进行测试。参照对应PCBA的BOM，依据元器件的datasheet进行参数和功能测试。</w:t>
      </w:r>
    </w:p>
    <w:p>
      <w:pPr>
        <w:numPr>
          <w:ilvl w:val="0"/>
          <w:numId w:val="3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通用测试要求</w:t>
      </w:r>
    </w:p>
    <w:p>
      <w:pPr>
        <w:spacing w:beforeLines="0" w:afterLines="0" w:line="360" w:lineRule="auto"/>
        <w:ind w:left="1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通用测试要求包括但不局限于以下项目：</w:t>
      </w:r>
    </w:p>
    <w:tbl>
      <w:tblPr>
        <w:tblStyle w:val="6"/>
        <w:tblW w:w="7550" w:type="dxa"/>
        <w:tblInd w:w="76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59"/>
        <w:gridCol w:w="409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rPr>
                <w:rFonts w:hint="default" w:ascii="Times New Roman" w:hAnsi="Times New Roman"/>
                <w:color w:val="000000"/>
                <w:sz w:val="21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sz w:val="21"/>
                <w:szCs w:val="24"/>
              </w:rPr>
              <w:t xml:space="preserve">           </w:t>
            </w:r>
            <w:r>
              <w:rPr>
                <w:rFonts w:hint="eastAsia" w:ascii="Times New Roman" w:hAnsi="Times New Roman"/>
                <w:color w:val="000000"/>
                <w:sz w:val="21"/>
                <w:szCs w:val="24"/>
              </w:rPr>
              <w:t>测试项目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default" w:ascii="Times New Roman" w:hAnsi="Times New Roman"/>
                <w:color w:val="000000"/>
                <w:sz w:val="21"/>
                <w:szCs w:val="24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4"/>
              </w:rPr>
              <w:t>测试参数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电阻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阻值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电容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容值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电感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感值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二极管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正向导通压降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稳压管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正向导通压降，反向击穿电压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三极管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两个PN节的正向导通节电压，开关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光耦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光耦导通和截至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变压器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电感值、电阻值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继电器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常开接点、常闭接点的状态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电阻排（如需要）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各引脚对公共端的电阻值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SMT芯片的引脚开焊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采用非向量测试技术：Testjet/VTEP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PCB断线、短路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短路测试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上电测试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对测试需要电源的器件进行上电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晶振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频率、输出电压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74系列、Memory 类、常用驱动类、交换类等IC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模拟类IC进行静态功能测试</w:t>
            </w:r>
          </w:p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数字类IC进行向量逻辑测试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具有边界扫描的大规模器件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采用边界扫描技术进行测试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3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在线程序烧录</w:t>
            </w:r>
          </w:p>
        </w:tc>
        <w:tc>
          <w:tcPr>
            <w:tcW w:w="4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spacing w:before="0" w:beforeLines="0" w:beforeAutospacing="0" w:after="0" w:afterLines="0" w:afterAutospacing="0"/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4"/>
              </w:rPr>
              <w:t>对指定存储器件，进行在线编程，见特殊要求部分</w:t>
            </w:r>
          </w:p>
        </w:tc>
      </w:tr>
    </w:tbl>
    <w:p>
      <w:pPr>
        <w:numPr>
          <w:ilvl w:val="0"/>
          <w:numId w:val="3"/>
        </w:numPr>
        <w:spacing w:before="120" w:beforeLines="5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专项测试要求：除通用测试要求外，各PCBA板卡的详细ICT测试要求见附件中的分项要求。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 xml:space="preserve">（3）测试失败或成功均需生成日志文档。 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（4）单板测试后生成满足要求格式的测试报告，包括汇总测试报告和单板测试报告。</w:t>
      </w:r>
    </w:p>
    <w:p>
      <w:pPr>
        <w:spacing w:beforeLines="0" w:afterLines="0" w:line="48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（5）其他测试要求，均要完全满足附件中相关说明。</w:t>
      </w:r>
    </w:p>
    <w:p>
      <w:pPr>
        <w:spacing w:beforeLines="0" w:afterLines="0" w:line="480" w:lineRule="auto"/>
        <w:rPr>
          <w:rFonts w:hint="default"/>
          <w:b w:val="0"/>
          <w:bCs w:val="0"/>
          <w:sz w:val="24"/>
          <w:szCs w:val="24"/>
        </w:rPr>
      </w:pPr>
      <w:r>
        <w:rPr>
          <w:rFonts w:hint="default"/>
          <w:b w:val="0"/>
          <w:bCs w:val="0"/>
          <w:sz w:val="24"/>
          <w:szCs w:val="24"/>
        </w:rPr>
        <w:t>2</w:t>
      </w:r>
      <w:r>
        <w:rPr>
          <w:rFonts w:hint="eastAsia" w:eastAsia="宋体"/>
          <w:b w:val="0"/>
          <w:bCs w:val="0"/>
          <w:sz w:val="24"/>
          <w:szCs w:val="24"/>
        </w:rPr>
        <w:t>、</w:t>
      </w:r>
      <w:r>
        <w:rPr>
          <w:rFonts w:hint="eastAsia" w:eastAsia="宋体"/>
          <w:b w:val="0"/>
          <w:bCs w:val="0"/>
          <w:sz w:val="28"/>
          <w:szCs w:val="24"/>
        </w:rPr>
        <w:t>硬件要求：</w:t>
      </w:r>
    </w:p>
    <w:p>
      <w:pPr>
        <w:spacing w:beforeLines="0" w:afterLines="0" w:line="360" w:lineRule="auto"/>
        <w:ind w:left="113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1</w:t>
      </w:r>
      <w:r>
        <w:rPr>
          <w:rFonts w:hint="eastAsia" w:eastAsia="宋体"/>
          <w:sz w:val="24"/>
          <w:szCs w:val="24"/>
        </w:rPr>
        <w:t>）一般要求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夹具的开合方式为手动开合模式，并具有开启状态保持能力。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扫码功能：通过外接扫码枪，可以实现测试前对待测板的扫码，扫码结果作为相应印制板测试报告中的必需信息进行保存。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夹具外形美观，机械部分制作与电气部分制作应符合相应的行业规范。其中，要求如下：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探针与PCB测试点可靠接触。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探针品牌为：INGUN或同等品牌。</w:t>
      </w:r>
    </w:p>
    <w:p>
      <w:pPr>
        <w:spacing w:beforeLines="0" w:afterLines="0" w:line="480" w:lineRule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2</w:t>
      </w:r>
      <w:r>
        <w:rPr>
          <w:rFonts w:hint="eastAsia" w:eastAsia="宋体"/>
          <w:sz w:val="24"/>
          <w:szCs w:val="24"/>
        </w:rPr>
        <w:t>）特殊要求</w:t>
      </w:r>
    </w:p>
    <w:p>
      <w:p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   </w:t>
      </w:r>
      <w:r>
        <w:rPr>
          <w:rFonts w:hint="eastAsia" w:eastAsia="宋体"/>
          <w:sz w:val="24"/>
          <w:szCs w:val="24"/>
        </w:rPr>
        <w:t>夹具采用上、下植针方式，可植针点数所在面见相应产品的植针率分析报告。要求夹具上、下盖结构稳定，在使用过程中探针与PCB测试点准确可靠接触。</w:t>
      </w:r>
    </w:p>
    <w:p>
      <w:p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ab/>
      </w:r>
      <w:r>
        <w:rPr>
          <w:rFonts w:hint="eastAsia" w:eastAsia="宋体"/>
          <w:sz w:val="24"/>
          <w:szCs w:val="24"/>
        </w:rPr>
        <w:t>夹具应在合适位置标注产品图号、型号及版本号信息。</w:t>
      </w:r>
    </w:p>
    <w:p>
      <w:pPr>
        <w:spacing w:beforeLines="0" w:afterLines="0"/>
        <w:ind w:left="113"/>
        <w:rPr>
          <w:rFonts w:hint="default"/>
          <w:sz w:val="21"/>
          <w:szCs w:val="24"/>
        </w:rPr>
      </w:pPr>
      <w:r>
        <w:rPr>
          <w:rFonts w:hint="default"/>
          <w:sz w:val="21"/>
          <w:szCs w:val="24"/>
        </w:rPr>
        <w:t xml:space="preserve">                                             </w:t>
      </w:r>
    </w:p>
    <w:p>
      <w:p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3</w:t>
      </w:r>
      <w:r>
        <w:rPr>
          <w:rFonts w:hint="eastAsia" w:eastAsia="宋体"/>
          <w:sz w:val="24"/>
          <w:szCs w:val="24"/>
        </w:rPr>
        <w:t>）备件要求：</w:t>
      </w:r>
    </w:p>
    <w:p>
      <w:p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   </w:t>
      </w:r>
      <w:r>
        <w:rPr>
          <w:rFonts w:hint="eastAsia" w:eastAsia="宋体"/>
          <w:sz w:val="24"/>
          <w:szCs w:val="24"/>
        </w:rPr>
        <w:t>备件按如下要求由</w:t>
      </w:r>
      <w:r>
        <w:rPr>
          <w:rFonts w:hint="eastAsia" w:eastAsia="宋体"/>
          <w:sz w:val="24"/>
          <w:szCs w:val="24"/>
          <w:lang w:val="en-US" w:eastAsia="zh-CN"/>
        </w:rPr>
        <w:t>供应商</w:t>
      </w:r>
      <w:r>
        <w:rPr>
          <w:rFonts w:hint="eastAsia" w:eastAsia="宋体"/>
          <w:sz w:val="24"/>
          <w:szCs w:val="24"/>
        </w:rPr>
        <w:t xml:space="preserve">提供： 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对于50mil以下的探针备用件提供的比例按4%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大于50mil的探针备用件提供的比例按2%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每种型号的探针至少保证有两根备用针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夹具气腔密封胶条备件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夹具上盖密封胶条备件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一套备用定位柱，直径要求：正常定位柱直径-0.1</w:t>
      </w:r>
    </w:p>
    <w:p>
      <w:pPr>
        <w:numPr>
          <w:ilvl w:val="1"/>
          <w:numId w:val="4"/>
        </w:numPr>
        <w:spacing w:beforeLines="0" w:afterLines="0" w:line="360" w:lineRule="auto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气弹簧备件（可单独报价）</w:t>
      </w:r>
    </w:p>
    <w:p>
      <w:pPr>
        <w:spacing w:beforeLines="0" w:afterLines="0" w:line="360" w:lineRule="auto"/>
        <w:rPr>
          <w:rFonts w:hint="default"/>
          <w:b/>
          <w:bCs w:val="0"/>
          <w:sz w:val="24"/>
          <w:szCs w:val="24"/>
        </w:rPr>
      </w:pPr>
      <w:r>
        <w:rPr>
          <w:rFonts w:hint="eastAsia" w:eastAsia="宋体"/>
          <w:b/>
          <w:bCs w:val="0"/>
          <w:sz w:val="24"/>
          <w:szCs w:val="24"/>
        </w:rPr>
        <w:t>三 、</w:t>
      </w:r>
      <w:r>
        <w:rPr>
          <w:rFonts w:hint="eastAsia" w:eastAsia="宋体"/>
          <w:b/>
          <w:bCs w:val="0"/>
          <w:sz w:val="28"/>
          <w:szCs w:val="24"/>
        </w:rPr>
        <w:t>安装调试：</w:t>
      </w:r>
    </w:p>
    <w:p>
      <w:pPr>
        <w:widowControl/>
        <w:spacing w:beforeLines="0" w:afterLines="0" w:line="360" w:lineRule="auto"/>
        <w:ind w:firstLine="480" w:firstLineChars="200"/>
        <w:jc w:val="left"/>
        <w:rPr>
          <w:rFonts w:hint="default"/>
          <w:sz w:val="24"/>
          <w:szCs w:val="24"/>
        </w:rPr>
      </w:pPr>
      <w:r>
        <w:rPr>
          <w:rFonts w:hint="eastAsia" w:eastAsia="宋体"/>
          <w:sz w:val="24"/>
          <w:szCs w:val="24"/>
        </w:rPr>
        <w:t>由</w:t>
      </w:r>
      <w:r>
        <w:rPr>
          <w:rFonts w:hint="eastAsia" w:eastAsia="宋体"/>
          <w:sz w:val="24"/>
          <w:szCs w:val="24"/>
          <w:lang w:val="en-US" w:eastAsia="zh-CN"/>
        </w:rPr>
        <w:t>采购人</w:t>
      </w:r>
      <w:r>
        <w:rPr>
          <w:rFonts w:hint="eastAsia" w:eastAsia="宋体"/>
          <w:sz w:val="24"/>
          <w:szCs w:val="24"/>
        </w:rPr>
        <w:t>提供必须的测试台设备，安排调试的时间及参与人员，</w:t>
      </w:r>
      <w:r>
        <w:rPr>
          <w:rFonts w:hint="eastAsia" w:eastAsia="宋体"/>
          <w:sz w:val="24"/>
          <w:szCs w:val="24"/>
          <w:lang w:val="en-US" w:eastAsia="zh-CN"/>
        </w:rPr>
        <w:t>供应商</w:t>
      </w:r>
      <w:r>
        <w:rPr>
          <w:rFonts w:hint="eastAsia" w:eastAsia="宋体"/>
          <w:sz w:val="24"/>
          <w:szCs w:val="24"/>
        </w:rPr>
        <w:t>负责夹具的调试工作。</w:t>
      </w:r>
    </w:p>
    <w:p>
      <w:pPr>
        <w:spacing w:beforeLines="0" w:afterLines="0" w:line="360" w:lineRule="auto"/>
        <w:rPr>
          <w:rFonts w:hint="default"/>
          <w:b/>
          <w:bCs/>
          <w:sz w:val="24"/>
          <w:szCs w:val="24"/>
        </w:rPr>
      </w:pPr>
      <w:r>
        <w:rPr>
          <w:rFonts w:hint="eastAsia" w:eastAsia="宋体"/>
          <w:b/>
          <w:bCs/>
          <w:sz w:val="24"/>
          <w:szCs w:val="24"/>
        </w:rPr>
        <w:t>四、</w:t>
      </w:r>
      <w:r>
        <w:rPr>
          <w:rFonts w:hint="eastAsia" w:eastAsia="宋体"/>
          <w:b/>
          <w:bCs/>
          <w:sz w:val="28"/>
          <w:szCs w:val="24"/>
        </w:rPr>
        <w:t>系统验收</w:t>
      </w:r>
    </w:p>
    <w:p>
      <w:pPr>
        <w:spacing w:beforeLines="0" w:afterLines="0" w:line="360" w:lineRule="auto"/>
        <w:ind w:firstLine="480" w:firstLineChars="200"/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1</w:t>
      </w:r>
      <w:r>
        <w:rPr>
          <w:rFonts w:hint="eastAsia" w:eastAsia="宋体"/>
          <w:sz w:val="24"/>
          <w:szCs w:val="24"/>
        </w:rPr>
        <w:t>、 按以上技术要求及性能进行验收。</w:t>
      </w:r>
    </w:p>
    <w:p>
      <w:pPr>
        <w:spacing w:beforeLines="0" w:afterLines="0" w:line="360" w:lineRule="auto"/>
        <w:ind w:firstLine="480" w:firstLineChars="200"/>
        <w:rPr>
          <w:rFonts w:hint="eastAsia" w:eastAsia="宋体"/>
          <w:sz w:val="24"/>
          <w:szCs w:val="24"/>
        </w:rPr>
      </w:pPr>
      <w:r>
        <w:rPr>
          <w:rFonts w:hint="default"/>
          <w:sz w:val="24"/>
          <w:szCs w:val="24"/>
        </w:rPr>
        <w:t>2</w:t>
      </w:r>
      <w:r>
        <w:rPr>
          <w:rFonts w:hint="eastAsia" w:eastAsia="宋体"/>
          <w:sz w:val="24"/>
          <w:szCs w:val="24"/>
        </w:rPr>
        <w:t>、 双方共同对夹具的硬件、软件及质量进行验收。</w:t>
      </w:r>
    </w:p>
    <w:p>
      <w:pPr>
        <w:spacing w:beforeLines="0" w:afterLines="0" w:line="360" w:lineRule="auto"/>
        <w:rPr>
          <w:rFonts w:hint="eastAsia" w:eastAsia="宋体"/>
          <w:b/>
          <w:bCs/>
          <w:sz w:val="28"/>
          <w:szCs w:val="28"/>
          <w:lang w:eastAsia="zh-CN"/>
        </w:rPr>
      </w:pPr>
      <w:r>
        <w:rPr>
          <w:rFonts w:hint="default" w:eastAsia="宋体"/>
          <w:b/>
          <w:bCs/>
          <w:sz w:val="28"/>
          <w:szCs w:val="28"/>
        </w:rPr>
        <w:t>五、夹具</w:t>
      </w:r>
      <w:r>
        <w:rPr>
          <w:rFonts w:hint="eastAsia" w:eastAsia="宋体"/>
          <w:b/>
          <w:bCs/>
          <w:sz w:val="28"/>
          <w:szCs w:val="28"/>
          <w:lang w:val="en-US" w:eastAsia="zh-CN"/>
        </w:rPr>
        <w:t>质保</w:t>
      </w:r>
    </w:p>
    <w:p>
      <w:pPr>
        <w:spacing w:beforeLines="0" w:afterLines="0" w:line="360" w:lineRule="auto"/>
        <w:ind w:firstLine="480" w:firstLineChars="200"/>
        <w:rPr>
          <w:rFonts w:hint="default" w:eastAsia="宋体"/>
          <w:sz w:val="24"/>
          <w:szCs w:val="24"/>
        </w:rPr>
      </w:pPr>
      <w:r>
        <w:rPr>
          <w:rFonts w:hint="default" w:eastAsia="宋体"/>
          <w:sz w:val="24"/>
          <w:szCs w:val="24"/>
        </w:rPr>
        <w:t>夹具从双方签署验收合格报告之日起，</w:t>
      </w:r>
      <w:r>
        <w:rPr>
          <w:rFonts w:hint="eastAsia" w:eastAsia="宋体"/>
          <w:sz w:val="24"/>
          <w:szCs w:val="24"/>
          <w:lang w:val="en-US" w:eastAsia="zh-CN"/>
        </w:rPr>
        <w:t>质保期不少于</w:t>
      </w:r>
      <w:r>
        <w:rPr>
          <w:rFonts w:hint="default" w:eastAsia="宋体"/>
          <w:sz w:val="24"/>
          <w:szCs w:val="24"/>
        </w:rPr>
        <w:t>12个月。在</w:t>
      </w:r>
      <w:r>
        <w:rPr>
          <w:rFonts w:hint="eastAsia" w:eastAsia="宋体"/>
          <w:sz w:val="24"/>
          <w:szCs w:val="24"/>
          <w:lang w:val="en-US" w:eastAsia="zh-CN"/>
        </w:rPr>
        <w:t>质保期</w:t>
      </w:r>
      <w:r>
        <w:rPr>
          <w:rFonts w:hint="default" w:eastAsia="宋体"/>
          <w:sz w:val="24"/>
          <w:szCs w:val="24"/>
        </w:rPr>
        <w:t>内若夹具发生故障，由</w:t>
      </w:r>
      <w:r>
        <w:rPr>
          <w:rFonts w:hint="eastAsia" w:eastAsia="宋体"/>
          <w:sz w:val="24"/>
          <w:szCs w:val="24"/>
          <w:lang w:val="en-US" w:eastAsia="zh-CN"/>
        </w:rPr>
        <w:t>供应商</w:t>
      </w:r>
      <w:r>
        <w:rPr>
          <w:rFonts w:hint="default" w:eastAsia="宋体"/>
          <w:sz w:val="24"/>
          <w:szCs w:val="24"/>
        </w:rPr>
        <w:t>免费负责调试维修，其中受损部件由</w:t>
      </w:r>
      <w:r>
        <w:rPr>
          <w:rFonts w:hint="eastAsia" w:eastAsia="宋体"/>
          <w:sz w:val="24"/>
          <w:szCs w:val="24"/>
          <w:lang w:val="en-US" w:eastAsia="zh-CN"/>
        </w:rPr>
        <w:t>供应商</w:t>
      </w:r>
      <w:r>
        <w:rPr>
          <w:rFonts w:hint="default" w:eastAsia="宋体"/>
          <w:sz w:val="24"/>
          <w:szCs w:val="24"/>
        </w:rPr>
        <w:t>免费更换（在保修期内更换的部件，其保修期重新计算），人为错误而导致损坏的部件和消耗品除外。</w:t>
      </w:r>
    </w:p>
    <w:p>
      <w:pPr>
        <w:spacing w:beforeLines="0" w:afterLines="0" w:line="360" w:lineRule="auto"/>
        <w:rPr>
          <w:rFonts w:hint="default" w:eastAsia="宋体"/>
          <w:b/>
          <w:bCs/>
          <w:sz w:val="28"/>
          <w:szCs w:val="28"/>
        </w:rPr>
      </w:pPr>
      <w:r>
        <w:rPr>
          <w:rFonts w:hint="default" w:eastAsia="宋体"/>
          <w:b/>
          <w:bCs/>
          <w:sz w:val="28"/>
          <w:szCs w:val="28"/>
        </w:rPr>
        <w:t>六、服务</w:t>
      </w:r>
      <w:bookmarkStart w:id="0" w:name="_GoBack"/>
      <w:bookmarkEnd w:id="0"/>
    </w:p>
    <w:p>
      <w:pPr>
        <w:spacing w:beforeLines="0" w:afterLines="0" w:line="360" w:lineRule="auto"/>
        <w:ind w:firstLine="480" w:firstLineChars="200"/>
        <w:rPr>
          <w:rFonts w:hint="default" w:eastAsia="宋体"/>
          <w:sz w:val="24"/>
          <w:szCs w:val="24"/>
        </w:rPr>
      </w:pPr>
      <w:r>
        <w:rPr>
          <w:rFonts w:hint="default" w:eastAsia="宋体"/>
          <w:sz w:val="24"/>
          <w:szCs w:val="24"/>
        </w:rPr>
        <w:t>1、夹具发生故障，</w:t>
      </w:r>
      <w:r>
        <w:rPr>
          <w:rFonts w:hint="eastAsia" w:eastAsia="宋体"/>
          <w:sz w:val="24"/>
          <w:szCs w:val="24"/>
          <w:lang w:val="en-US" w:eastAsia="zh-CN"/>
        </w:rPr>
        <w:t>供应商</w:t>
      </w:r>
      <w:r>
        <w:rPr>
          <w:rFonts w:hint="default" w:eastAsia="宋体"/>
          <w:sz w:val="24"/>
          <w:szCs w:val="24"/>
        </w:rPr>
        <w:t>在接到</w:t>
      </w:r>
      <w:r>
        <w:rPr>
          <w:rFonts w:hint="eastAsia" w:eastAsia="宋体"/>
          <w:sz w:val="24"/>
          <w:szCs w:val="24"/>
          <w:lang w:val="en-US" w:eastAsia="zh-CN"/>
        </w:rPr>
        <w:t>采购人</w:t>
      </w:r>
      <w:r>
        <w:rPr>
          <w:rFonts w:hint="default" w:eastAsia="宋体"/>
          <w:sz w:val="24"/>
          <w:szCs w:val="24"/>
        </w:rPr>
        <w:t>的通知后，应在2小时内予以响应，通过远程调试或技术支持等方式配合解决故障问题，必要时由</w:t>
      </w:r>
      <w:r>
        <w:rPr>
          <w:rFonts w:hint="eastAsia" w:eastAsia="宋体"/>
          <w:sz w:val="24"/>
          <w:szCs w:val="24"/>
          <w:lang w:val="en-US" w:eastAsia="zh-CN"/>
        </w:rPr>
        <w:t>供应商</w:t>
      </w:r>
      <w:r>
        <w:rPr>
          <w:rFonts w:hint="default" w:eastAsia="宋体"/>
          <w:sz w:val="24"/>
          <w:szCs w:val="24"/>
        </w:rPr>
        <w:t>到达</w:t>
      </w:r>
      <w:r>
        <w:rPr>
          <w:rFonts w:hint="eastAsia" w:eastAsia="宋体"/>
          <w:sz w:val="24"/>
          <w:szCs w:val="24"/>
          <w:lang w:val="en-US" w:eastAsia="zh-CN"/>
        </w:rPr>
        <w:t>采购人</w:t>
      </w:r>
      <w:r>
        <w:rPr>
          <w:rFonts w:hint="default" w:eastAsia="宋体"/>
          <w:sz w:val="24"/>
          <w:szCs w:val="24"/>
        </w:rPr>
        <w:t>现场进行调试维修。</w:t>
      </w:r>
    </w:p>
    <w:p>
      <w:pPr>
        <w:spacing w:beforeLines="0" w:afterLines="0" w:line="360" w:lineRule="auto"/>
        <w:ind w:firstLine="480" w:firstLineChars="200"/>
        <w:rPr>
          <w:rFonts w:hint="default" w:eastAsia="宋体"/>
          <w:sz w:val="24"/>
          <w:szCs w:val="24"/>
        </w:rPr>
      </w:pPr>
      <w:r>
        <w:rPr>
          <w:rFonts w:hint="default" w:eastAsia="宋体"/>
          <w:sz w:val="24"/>
          <w:szCs w:val="24"/>
        </w:rPr>
        <w:t>2、质保期外夹具若出现故障，</w:t>
      </w:r>
      <w:r>
        <w:rPr>
          <w:rFonts w:hint="eastAsia" w:eastAsia="宋体"/>
          <w:sz w:val="24"/>
          <w:szCs w:val="24"/>
          <w:lang w:val="en-US" w:eastAsia="zh-CN"/>
        </w:rPr>
        <w:t>采购人</w:t>
      </w:r>
      <w:r>
        <w:rPr>
          <w:rFonts w:hint="default" w:eastAsia="宋体"/>
          <w:sz w:val="24"/>
          <w:szCs w:val="24"/>
        </w:rPr>
        <w:t>提供保修期外人工费收费标准的维修。</w:t>
      </w:r>
    </w:p>
    <w:p>
      <w:pPr>
        <w:spacing w:beforeLines="0" w:afterLines="0" w:line="360" w:lineRule="auto"/>
        <w:ind w:firstLine="480" w:firstLineChars="200"/>
        <w:rPr>
          <w:rFonts w:hint="default" w:eastAsia="宋体"/>
          <w:sz w:val="24"/>
          <w:szCs w:val="24"/>
        </w:rPr>
      </w:pPr>
    </w:p>
    <w:p>
      <w:pPr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C91163"/>
    <w:multiLevelType w:val="multilevel"/>
    <w:tmpl w:val="1FC91163"/>
    <w:lvl w:ilvl="0" w:tentative="0">
      <w:start w:val="1"/>
      <w:numFmt w:val="decimal"/>
      <w:pStyle w:val="13"/>
      <w:suff w:val="nothing"/>
      <w:lvlText w:val="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2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 w:tentative="0">
      <w:start w:val="1"/>
      <w:numFmt w:val="decimal"/>
      <w:pStyle w:val="14"/>
      <w:suff w:val="nothing"/>
      <w:lvlText w:val="%1.%2.%3　"/>
      <w:lvlJc w:val="left"/>
      <w:pPr>
        <w:ind w:left="568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5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16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17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">
    <w:nsid w:val="5E9A7DB3"/>
    <w:multiLevelType w:val="multilevel"/>
    <w:tmpl w:val="5E9A7DB3"/>
    <w:lvl w:ilvl="0" w:tentative="0">
      <w:start w:val="1"/>
      <w:numFmt w:val="decimal"/>
      <w:lvlText w:val="%1、"/>
      <w:lvlJc w:val="left"/>
      <w:pPr>
        <w:ind w:left="780" w:hanging="360"/>
      </w:pPr>
      <w:rPr>
        <w:rFonts w:hint="default"/>
        <w:u w:val="none" w:color="auto"/>
      </w:rPr>
    </w:lvl>
    <w:lvl w:ilvl="1" w:tentative="0">
      <w:start w:val="1"/>
      <w:numFmt w:val="lowerLetter"/>
      <w:lvlText w:val="%2)"/>
      <w:lvlJc w:val="left"/>
      <w:pPr>
        <w:ind w:left="1300" w:hanging="440"/>
      </w:pPr>
      <w:rPr>
        <w:rFonts w:hint="default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0" w:hanging="440"/>
      </w:pPr>
      <w:rPr>
        <w:rFonts w:hint="default"/>
        <w:u w:val="none" w:color="auto"/>
      </w:rPr>
    </w:lvl>
    <w:lvl w:ilvl="3" w:tentative="0">
      <w:start w:val="1"/>
      <w:numFmt w:val="decimal"/>
      <w:lvlText w:val="%4."/>
      <w:lvlJc w:val="left"/>
      <w:pPr>
        <w:ind w:left="2180" w:hanging="440"/>
      </w:pPr>
      <w:rPr>
        <w:rFonts w:hint="default"/>
        <w:u w:val="none" w:color="auto"/>
      </w:rPr>
    </w:lvl>
    <w:lvl w:ilvl="4" w:tentative="0">
      <w:start w:val="1"/>
      <w:numFmt w:val="lowerLetter"/>
      <w:lvlText w:val="%5)"/>
      <w:lvlJc w:val="left"/>
      <w:pPr>
        <w:ind w:left="2620" w:hanging="440"/>
      </w:pPr>
      <w:rPr>
        <w:rFonts w:hint="default"/>
        <w:u w:val="none" w:color="auto"/>
      </w:rPr>
    </w:lvl>
    <w:lvl w:ilvl="5" w:tentative="0">
      <w:start w:val="1"/>
      <w:numFmt w:val="lowerRoman"/>
      <w:lvlText w:val="%6."/>
      <w:lvlJc w:val="right"/>
      <w:pPr>
        <w:ind w:left="3060" w:hanging="440"/>
      </w:pPr>
      <w:rPr>
        <w:rFonts w:hint="default"/>
        <w:u w:val="none" w:color="auto"/>
      </w:rPr>
    </w:lvl>
    <w:lvl w:ilvl="6" w:tentative="0">
      <w:start w:val="1"/>
      <w:numFmt w:val="decimal"/>
      <w:lvlText w:val="%7."/>
      <w:lvlJc w:val="left"/>
      <w:pPr>
        <w:ind w:left="3500" w:hanging="440"/>
      </w:pPr>
      <w:rPr>
        <w:rFonts w:hint="default"/>
        <w:u w:val="none" w:color="auto"/>
      </w:rPr>
    </w:lvl>
    <w:lvl w:ilvl="7" w:tentative="0">
      <w:start w:val="1"/>
      <w:numFmt w:val="lowerLetter"/>
      <w:lvlText w:val="%8)"/>
      <w:lvlJc w:val="left"/>
      <w:pPr>
        <w:ind w:left="3940" w:hanging="440"/>
      </w:pPr>
      <w:rPr>
        <w:rFonts w:hint="default"/>
        <w:u w:val="none" w:color="auto"/>
      </w:rPr>
    </w:lvl>
    <w:lvl w:ilvl="8" w:tentative="0">
      <w:start w:val="1"/>
      <w:numFmt w:val="lowerRoman"/>
      <w:lvlText w:val="%9."/>
      <w:lvlJc w:val="right"/>
      <w:pPr>
        <w:ind w:left="4380" w:hanging="440"/>
      </w:pPr>
      <w:rPr>
        <w:rFonts w:hint="default"/>
        <w:u w:val="none" w:color="auto"/>
      </w:rPr>
    </w:lvl>
  </w:abstractNum>
  <w:abstractNum w:abstractNumId="2">
    <w:nsid w:val="5EA530CE"/>
    <w:multiLevelType w:val="multilevel"/>
    <w:tmpl w:val="5EA530CE"/>
    <w:lvl w:ilvl="0" w:tentative="0">
      <w:start w:val="1"/>
      <w:numFmt w:val="decimal"/>
      <w:lvlText w:val="（%1）"/>
      <w:lvlJc w:val="left"/>
      <w:pPr>
        <w:ind w:left="1200" w:hanging="720"/>
      </w:pPr>
      <w:rPr>
        <w:rFonts w:hint="default"/>
        <w:u w:val="none" w:color="auto"/>
      </w:rPr>
    </w:lvl>
    <w:lvl w:ilvl="1" w:tentative="0">
      <w:start w:val="1"/>
      <w:numFmt w:val="lowerLetter"/>
      <w:lvlText w:val="%2)"/>
      <w:lvlJc w:val="left"/>
      <w:pPr>
        <w:ind w:left="1320" w:hanging="420"/>
      </w:pPr>
      <w:rPr>
        <w:rFonts w:hint="default"/>
        <w:u w:val="none" w:color="auto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default"/>
        <w:u w:val="none" w:color="auto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default"/>
        <w:u w:val="none" w:color="auto"/>
      </w:rPr>
    </w:lvl>
    <w:lvl w:ilvl="4" w:tentative="0">
      <w:start w:val="1"/>
      <w:numFmt w:val="lowerLetter"/>
      <w:lvlText w:val="%5)"/>
      <w:lvlJc w:val="left"/>
      <w:pPr>
        <w:ind w:left="2580" w:hanging="420"/>
      </w:pPr>
      <w:rPr>
        <w:rFonts w:hint="default"/>
        <w:u w:val="none" w:color="auto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default"/>
        <w:u w:val="none" w:color="auto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default"/>
        <w:u w:val="none" w:color="auto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default"/>
        <w:u w:val="none" w:color="auto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default"/>
        <w:u w:val="none" w:color="auto"/>
      </w:rPr>
    </w:lvl>
  </w:abstractNum>
  <w:abstractNum w:abstractNumId="3">
    <w:nsid w:val="63EB0D2B"/>
    <w:multiLevelType w:val="multilevel"/>
    <w:tmpl w:val="63EB0D2B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default"/>
        <w:u w:val="none" w:color="auto"/>
      </w:rPr>
    </w:lvl>
    <w:lvl w:ilvl="1" w:tentative="0">
      <w:start w:val="1"/>
      <w:numFmt w:val="bullet"/>
      <w:lvlText w:val=""/>
      <w:lvlJc w:val="left"/>
      <w:pPr>
        <w:tabs>
          <w:tab w:val="left" w:pos="760"/>
        </w:tabs>
        <w:ind w:left="760" w:hanging="340"/>
      </w:pPr>
      <w:rPr>
        <w:rFonts w:hint="default" w:ascii="Wingdings" w:hAnsi="Wingdings" w:eastAsia="宋体"/>
        <w:sz w:val="11"/>
        <w:u w:val="none" w:color="auto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default"/>
        <w:u w:val="none" w:color="auto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  <w:u w:val="none" w:color="auto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  <w:u w:val="none" w:color="auto"/>
      </w:r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default"/>
        <w:u w:val="none" w:color="auto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  <w:u w:val="none" w:color="auto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  <w:u w:val="none" w:color="auto"/>
      </w:r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default"/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hNTg2OTQ1MTU4YjRlNTk1ZGMwZmVjOTY3OGYyMDkifQ=="/>
  </w:docVars>
  <w:rsids>
    <w:rsidRoot w:val="00172A27"/>
    <w:rsid w:val="00002564"/>
    <w:rsid w:val="00004E65"/>
    <w:rsid w:val="00013EEB"/>
    <w:rsid w:val="000A0140"/>
    <w:rsid w:val="000B4D1A"/>
    <w:rsid w:val="000C3E34"/>
    <w:rsid w:val="000C5FA5"/>
    <w:rsid w:val="001111C1"/>
    <w:rsid w:val="00121101"/>
    <w:rsid w:val="00125B09"/>
    <w:rsid w:val="0015640C"/>
    <w:rsid w:val="001962D3"/>
    <w:rsid w:val="001A2EE0"/>
    <w:rsid w:val="001A7D29"/>
    <w:rsid w:val="001E72E3"/>
    <w:rsid w:val="00205B41"/>
    <w:rsid w:val="0022461D"/>
    <w:rsid w:val="00257870"/>
    <w:rsid w:val="002A0D1E"/>
    <w:rsid w:val="002A785A"/>
    <w:rsid w:val="002C0108"/>
    <w:rsid w:val="002C4C9C"/>
    <w:rsid w:val="00365CDC"/>
    <w:rsid w:val="0049162B"/>
    <w:rsid w:val="004C28A0"/>
    <w:rsid w:val="004D078B"/>
    <w:rsid w:val="004E4924"/>
    <w:rsid w:val="00521A9F"/>
    <w:rsid w:val="005471FD"/>
    <w:rsid w:val="00582DED"/>
    <w:rsid w:val="005A25E6"/>
    <w:rsid w:val="0060483F"/>
    <w:rsid w:val="00676EFC"/>
    <w:rsid w:val="006A02BC"/>
    <w:rsid w:val="006D5B16"/>
    <w:rsid w:val="006F02E1"/>
    <w:rsid w:val="00797241"/>
    <w:rsid w:val="007A442A"/>
    <w:rsid w:val="007B4523"/>
    <w:rsid w:val="007B6660"/>
    <w:rsid w:val="007F7993"/>
    <w:rsid w:val="008022EE"/>
    <w:rsid w:val="00826D2C"/>
    <w:rsid w:val="00851D85"/>
    <w:rsid w:val="008F36E6"/>
    <w:rsid w:val="009045FF"/>
    <w:rsid w:val="009244E7"/>
    <w:rsid w:val="00934742"/>
    <w:rsid w:val="00946178"/>
    <w:rsid w:val="00950B34"/>
    <w:rsid w:val="00984D00"/>
    <w:rsid w:val="00A119D1"/>
    <w:rsid w:val="00A33623"/>
    <w:rsid w:val="00AE5CEF"/>
    <w:rsid w:val="00B57DA7"/>
    <w:rsid w:val="00B94BA6"/>
    <w:rsid w:val="00C94E5B"/>
    <w:rsid w:val="00C955CF"/>
    <w:rsid w:val="00CB605D"/>
    <w:rsid w:val="00CF1E1F"/>
    <w:rsid w:val="00D74D44"/>
    <w:rsid w:val="00DA07E3"/>
    <w:rsid w:val="00DB2B7C"/>
    <w:rsid w:val="00DC2F71"/>
    <w:rsid w:val="00DC6780"/>
    <w:rsid w:val="00DF641F"/>
    <w:rsid w:val="00E64CB9"/>
    <w:rsid w:val="00E65222"/>
    <w:rsid w:val="00E84548"/>
    <w:rsid w:val="00EB54B5"/>
    <w:rsid w:val="00EF08DD"/>
    <w:rsid w:val="00EF25D4"/>
    <w:rsid w:val="00F119CA"/>
    <w:rsid w:val="00F37331"/>
    <w:rsid w:val="00F45F0E"/>
    <w:rsid w:val="00FE2EB0"/>
    <w:rsid w:val="00FF3B6E"/>
    <w:rsid w:val="020C67B9"/>
    <w:rsid w:val="0A224BC3"/>
    <w:rsid w:val="0D0419D3"/>
    <w:rsid w:val="0D6B5384"/>
    <w:rsid w:val="13BF58F4"/>
    <w:rsid w:val="16BB25C1"/>
    <w:rsid w:val="186F5531"/>
    <w:rsid w:val="189750AE"/>
    <w:rsid w:val="18A17A36"/>
    <w:rsid w:val="1ED92D4A"/>
    <w:rsid w:val="20B52AD6"/>
    <w:rsid w:val="24060C4F"/>
    <w:rsid w:val="2D890DF6"/>
    <w:rsid w:val="3652599D"/>
    <w:rsid w:val="37AE427B"/>
    <w:rsid w:val="391B148A"/>
    <w:rsid w:val="3C6C303B"/>
    <w:rsid w:val="449716FB"/>
    <w:rsid w:val="541812A5"/>
    <w:rsid w:val="5ED01D00"/>
    <w:rsid w:val="5FC82D05"/>
    <w:rsid w:val="63400035"/>
    <w:rsid w:val="68D0728C"/>
    <w:rsid w:val="6AFE2026"/>
    <w:rsid w:val="75C56A3A"/>
    <w:rsid w:val="7D8A5D9D"/>
    <w:rsid w:val="7F7F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hint="eastAsia" w:ascii="宋体" w:hAnsi="宋体" w:eastAsia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unhideWhenUsed/>
    <w:qFormat/>
    <w:uiPriority w:val="0"/>
    <w:rPr>
      <w:rFonts w:hint="default"/>
      <w:sz w:val="24"/>
      <w:szCs w:val="24"/>
    </w:rPr>
  </w:style>
  <w:style w:type="character" w:customStyle="1" w:styleId="10">
    <w:name w:val="页眉 Char"/>
    <w:basedOn w:val="8"/>
    <w:link w:val="4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semiHidden/>
    <w:qFormat/>
    <w:uiPriority w:val="99"/>
    <w:rPr>
      <w:sz w:val="18"/>
      <w:szCs w:val="18"/>
    </w:rPr>
  </w:style>
  <w:style w:type="paragraph" w:customStyle="1" w:styleId="12">
    <w:name w:val="一级条标题"/>
    <w:next w:val="1"/>
    <w:qFormat/>
    <w:uiPriority w:val="0"/>
    <w:pPr>
      <w:numPr>
        <w:ilvl w:val="1"/>
        <w:numId w:val="1"/>
      </w:numPr>
      <w:spacing w:beforeLines="50" w:afterLines="5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3">
    <w:name w:val="章标题"/>
    <w:next w:val="1"/>
    <w:qFormat/>
    <w:uiPriority w:val="0"/>
    <w:pPr>
      <w:numPr>
        <w:ilvl w:val="0"/>
        <w:numId w:val="1"/>
      </w:numPr>
      <w:spacing w:beforeLines="100" w:afterLines="10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4">
    <w:name w:val="二级条标题"/>
    <w:basedOn w:val="12"/>
    <w:next w:val="1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5">
    <w:name w:val="三级条标题"/>
    <w:basedOn w:val="14"/>
    <w:next w:val="1"/>
    <w:qFormat/>
    <w:uiPriority w:val="0"/>
    <w:pPr>
      <w:numPr>
        <w:ilvl w:val="3"/>
      </w:numPr>
      <w:outlineLvl w:val="4"/>
    </w:pPr>
  </w:style>
  <w:style w:type="paragraph" w:customStyle="1" w:styleId="16">
    <w:name w:val="四级条标题"/>
    <w:basedOn w:val="15"/>
    <w:next w:val="1"/>
    <w:qFormat/>
    <w:uiPriority w:val="0"/>
    <w:pPr>
      <w:numPr>
        <w:ilvl w:val="4"/>
      </w:numPr>
      <w:outlineLvl w:val="5"/>
    </w:pPr>
  </w:style>
  <w:style w:type="paragraph" w:customStyle="1" w:styleId="17">
    <w:name w:val="五级条标题"/>
    <w:basedOn w:val="16"/>
    <w:next w:val="1"/>
    <w:qFormat/>
    <w:uiPriority w:val="0"/>
    <w:pPr>
      <w:numPr>
        <w:ilvl w:val="5"/>
      </w:numPr>
      <w:outlineLvl w:val="6"/>
    </w:p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9">
    <w:name w:val="样式 正文－推荐使用 + 首行缩进:  2 字符 段前: 0.5 行 段后: 0.5 行"/>
    <w:basedOn w:val="1"/>
    <w:qFormat/>
    <w:uiPriority w:val="0"/>
    <w:pPr>
      <w:spacing w:before="120" w:after="120" w:line="360" w:lineRule="auto"/>
      <w:ind w:firstLine="480"/>
      <w:textAlignment w:val="bottom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20">
    <w:name w:val="样式 正文（首行缩进2字符） + 首行缩进:  2 字符"/>
    <w:basedOn w:val="1"/>
    <w:qFormat/>
    <w:uiPriority w:val="0"/>
    <w:pPr>
      <w:spacing w:line="360" w:lineRule="auto"/>
      <w:ind w:left="178" w:leftChars="85" w:right="25" w:rightChars="12" w:firstLine="538" w:firstLineChars="256"/>
    </w:pPr>
    <w:rPr>
      <w:rFonts w:ascii="宋体" w:hAnsi="宋体" w:cs="宋体"/>
      <w:bCs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1895</Words>
  <Characters>2030</Characters>
  <Lines>5</Lines>
  <Paragraphs>1</Paragraphs>
  <TotalTime>6</TotalTime>
  <ScaleCrop>false</ScaleCrop>
  <LinksUpToDate>false</LinksUpToDate>
  <CharactersWithSpaces>2031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2018-12-03T01:18:00Z</dcterms:created>
  <dc:creator>Think</dc:creator>
  <cp:lastModifiedBy>曹杰</cp:lastModifiedBy>
  <cp:lastPrinted>2023-08-02T03:32:44Z</cp:lastPrinted>
  <dcterms:modified xsi:type="dcterms:W3CDTF">2023-08-02T03:32:58Z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2A2245D665604740914A0A74EEAA5AB9_12</vt:lpwstr>
  </property>
</Properties>
</file>